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D2B" w:rsidRPr="003C07F9" w:rsidRDefault="00551D2B">
      <w:pPr>
        <w:spacing w:line="590" w:lineRule="exact"/>
        <w:ind w:left="584"/>
        <w:jc w:val="center"/>
        <w:rPr>
          <w:rFonts w:ascii="Times New Roman" w:eastAsia="方正小标宋_GBK" w:hAnsi="Times New Roman"/>
          <w:sz w:val="44"/>
          <w:szCs w:val="44"/>
        </w:rPr>
      </w:pPr>
      <w:r w:rsidRPr="003C07F9">
        <w:rPr>
          <w:rFonts w:ascii="Times New Roman" w:eastAsia="方正小标宋_GBK" w:hAnsi="Times New Roman" w:hint="eastAsia"/>
          <w:sz w:val="44"/>
          <w:szCs w:val="44"/>
        </w:rPr>
        <w:t>永兴县非税票据电子化改革工作情况汇报</w:t>
      </w:r>
    </w:p>
    <w:p w:rsidR="003C07F9" w:rsidRPr="003C07F9" w:rsidRDefault="003C07F9">
      <w:pPr>
        <w:spacing w:line="590" w:lineRule="exact"/>
        <w:ind w:left="584"/>
        <w:jc w:val="center"/>
        <w:rPr>
          <w:rFonts w:ascii="Times New Roman" w:eastAsia="楷体_GB2312" w:hAnsi="Times New Roman"/>
          <w:sz w:val="32"/>
          <w:szCs w:val="32"/>
        </w:rPr>
      </w:pPr>
    </w:p>
    <w:p w:rsidR="00551D2B" w:rsidRPr="003C07F9" w:rsidRDefault="00551D2B">
      <w:pPr>
        <w:spacing w:line="590" w:lineRule="exact"/>
        <w:ind w:left="584"/>
        <w:jc w:val="center"/>
        <w:rPr>
          <w:rFonts w:ascii="Times New Roman" w:eastAsia="楷体_GB2312" w:hAnsi="Times New Roman"/>
          <w:sz w:val="32"/>
          <w:szCs w:val="32"/>
        </w:rPr>
      </w:pPr>
      <w:r w:rsidRPr="003C07F9">
        <w:rPr>
          <w:rFonts w:ascii="Times New Roman" w:eastAsia="楷体_GB2312" w:hAnsi="Times New Roman"/>
          <w:sz w:val="32"/>
          <w:szCs w:val="32"/>
        </w:rPr>
        <w:t>永兴县非税</w:t>
      </w:r>
      <w:r w:rsidR="003C07F9">
        <w:rPr>
          <w:rFonts w:ascii="Times New Roman" w:eastAsia="楷体_GB2312" w:hAnsi="Times New Roman" w:hint="eastAsia"/>
          <w:sz w:val="32"/>
          <w:szCs w:val="32"/>
        </w:rPr>
        <w:t>收入征收管理</w:t>
      </w:r>
      <w:r w:rsidRPr="003C07F9">
        <w:rPr>
          <w:rFonts w:ascii="Times New Roman" w:eastAsia="楷体_GB2312" w:hAnsi="Times New Roman"/>
          <w:sz w:val="32"/>
          <w:szCs w:val="32"/>
        </w:rPr>
        <w:t>局</w:t>
      </w:r>
    </w:p>
    <w:p w:rsidR="00551D2B" w:rsidRPr="003C07F9" w:rsidRDefault="00551D2B">
      <w:pPr>
        <w:spacing w:line="590" w:lineRule="exact"/>
        <w:ind w:left="584"/>
        <w:jc w:val="center"/>
        <w:rPr>
          <w:rFonts w:ascii="Times New Roman" w:eastAsia="楷体_GB2312" w:hAnsi="Times New Roman"/>
          <w:sz w:val="32"/>
          <w:szCs w:val="32"/>
        </w:rPr>
      </w:pPr>
      <w:r w:rsidRPr="003C07F9">
        <w:rPr>
          <w:rFonts w:ascii="Times New Roman" w:eastAsia="楷体_GB2312" w:hAnsi="Times New Roman"/>
          <w:sz w:val="32"/>
          <w:szCs w:val="32"/>
        </w:rPr>
        <w:t>2017</w:t>
      </w:r>
      <w:r w:rsidRPr="003C07F9">
        <w:rPr>
          <w:rFonts w:ascii="Times New Roman" w:eastAsia="楷体_GB2312" w:hAnsi="Times New Roman"/>
          <w:sz w:val="32"/>
          <w:szCs w:val="32"/>
        </w:rPr>
        <w:t>年</w:t>
      </w:r>
      <w:r w:rsidRPr="003C07F9">
        <w:rPr>
          <w:rFonts w:ascii="Times New Roman" w:eastAsia="楷体_GB2312" w:hAnsi="Times New Roman"/>
          <w:sz w:val="32"/>
          <w:szCs w:val="32"/>
        </w:rPr>
        <w:t>7</w:t>
      </w:r>
      <w:r w:rsidRPr="003C07F9">
        <w:rPr>
          <w:rFonts w:ascii="Times New Roman" w:eastAsia="楷体_GB2312" w:hAnsi="Times New Roman"/>
          <w:sz w:val="32"/>
          <w:szCs w:val="32"/>
        </w:rPr>
        <w:t>月</w:t>
      </w:r>
      <w:r w:rsidR="003C07F9" w:rsidRPr="003C07F9">
        <w:rPr>
          <w:rFonts w:ascii="Times New Roman" w:eastAsia="楷体_GB2312" w:hAnsi="Times New Roman"/>
          <w:sz w:val="32"/>
          <w:szCs w:val="32"/>
        </w:rPr>
        <w:t>2</w:t>
      </w:r>
      <w:r w:rsidR="00501F9C">
        <w:rPr>
          <w:rFonts w:ascii="Times New Roman" w:eastAsia="楷体_GB2312" w:hAnsi="Times New Roman" w:hint="eastAsia"/>
          <w:sz w:val="32"/>
          <w:szCs w:val="32"/>
        </w:rPr>
        <w:t>8</w:t>
      </w:r>
      <w:r w:rsidR="003C07F9" w:rsidRPr="003C07F9">
        <w:rPr>
          <w:rFonts w:ascii="Times New Roman" w:eastAsia="楷体_GB2312" w:hAnsi="Times New Roman"/>
          <w:sz w:val="32"/>
          <w:szCs w:val="32"/>
        </w:rPr>
        <w:t>日</w:t>
      </w:r>
    </w:p>
    <w:p w:rsidR="00551D2B" w:rsidRPr="003C07F9" w:rsidRDefault="00551D2B" w:rsidP="003C07F9">
      <w:pPr>
        <w:ind w:firstLineChars="200" w:firstLine="624"/>
        <w:rPr>
          <w:rFonts w:ascii="Times New Roman" w:eastAsia="仿宋_GB2312" w:hAnsi="Times New Roman"/>
          <w:sz w:val="32"/>
          <w:szCs w:val="32"/>
        </w:rPr>
      </w:pPr>
    </w:p>
    <w:p w:rsidR="00551D2B" w:rsidRPr="003C07F9" w:rsidRDefault="00551D2B" w:rsidP="003C07F9">
      <w:pPr>
        <w:spacing w:before="240"/>
        <w:ind w:firstLineChars="200" w:firstLine="624"/>
        <w:rPr>
          <w:rFonts w:ascii="Times New Roman" w:eastAsia="仿宋_GB2312" w:hAnsi="Times New Roman"/>
          <w:sz w:val="32"/>
          <w:szCs w:val="32"/>
        </w:rPr>
      </w:pPr>
      <w:r w:rsidRPr="003C07F9">
        <w:rPr>
          <w:rFonts w:ascii="Times New Roman" w:eastAsia="仿宋_GB2312" w:hAnsi="Times New Roman"/>
          <w:sz w:val="32"/>
          <w:szCs w:val="32"/>
        </w:rPr>
        <w:t>2015</w:t>
      </w:r>
      <w:r w:rsidRPr="003C07F9">
        <w:rPr>
          <w:rFonts w:ascii="Times New Roman" w:eastAsia="仿宋_GB2312" w:hAnsi="Times New Roman" w:hint="eastAsia"/>
          <w:sz w:val="32"/>
          <w:szCs w:val="32"/>
        </w:rPr>
        <w:t>年，永兴县被省财政厅确定为全省</w:t>
      </w:r>
      <w:r w:rsidRPr="003C07F9">
        <w:rPr>
          <w:rFonts w:ascii="Times New Roman" w:eastAsia="仿宋_GB2312" w:hAnsi="Times New Roman"/>
          <w:sz w:val="32"/>
          <w:szCs w:val="32"/>
        </w:rPr>
        <w:t>12</w:t>
      </w:r>
      <w:r w:rsidRPr="003C07F9">
        <w:rPr>
          <w:rFonts w:ascii="Times New Roman" w:eastAsia="仿宋_GB2312" w:hAnsi="Times New Roman" w:hint="eastAsia"/>
          <w:sz w:val="32"/>
          <w:szCs w:val="32"/>
        </w:rPr>
        <w:t>个财政票据电子化管理改革示范点之一。为按时完成财政票据电子化管理改革任务，全面提升财政票据电子化管理水平，永兴县按照上级财政的工作要求，依托计算机和</w:t>
      </w:r>
      <w:r w:rsidR="003C07F9" w:rsidRPr="003C07F9">
        <w:rPr>
          <w:rFonts w:ascii="Times New Roman" w:eastAsia="仿宋_GB2312" w:hAnsi="Times New Roman" w:hint="eastAsia"/>
          <w:sz w:val="32"/>
          <w:szCs w:val="32"/>
        </w:rPr>
        <w:t>信息</w:t>
      </w:r>
      <w:r w:rsidRPr="003C07F9">
        <w:rPr>
          <w:rFonts w:ascii="Times New Roman" w:eastAsia="仿宋_GB2312" w:hAnsi="Times New Roman" w:hint="eastAsia"/>
          <w:sz w:val="32"/>
          <w:szCs w:val="32"/>
        </w:rPr>
        <w:t>网络技术，强力推进财政票据电子化改革和网上缴费平台建设，初步实现了</w:t>
      </w:r>
      <w:r w:rsidRPr="003C07F9">
        <w:rPr>
          <w:rFonts w:ascii="Times New Roman" w:eastAsia="仿宋_GB2312" w:hAnsi="Times New Roman"/>
          <w:sz w:val="32"/>
          <w:szCs w:val="32"/>
        </w:rPr>
        <w:t>“</w:t>
      </w:r>
      <w:r w:rsidRPr="003C07F9">
        <w:rPr>
          <w:rFonts w:ascii="Times New Roman" w:eastAsia="仿宋_GB2312" w:hAnsi="Times New Roman" w:hint="eastAsia"/>
          <w:sz w:val="32"/>
          <w:szCs w:val="32"/>
        </w:rPr>
        <w:t>电子开票、网上缴费、自动核销、全程跟踪、信息共享、高效便民</w:t>
      </w:r>
      <w:r w:rsidRPr="003C07F9">
        <w:rPr>
          <w:rFonts w:ascii="Times New Roman" w:eastAsia="仿宋_GB2312" w:hAnsi="Times New Roman"/>
          <w:sz w:val="32"/>
          <w:szCs w:val="32"/>
        </w:rPr>
        <w:t>”</w:t>
      </w:r>
      <w:r w:rsidRPr="003C07F9">
        <w:rPr>
          <w:rFonts w:ascii="Times New Roman" w:eastAsia="仿宋_GB2312" w:hAnsi="Times New Roman" w:hint="eastAsia"/>
          <w:sz w:val="32"/>
          <w:szCs w:val="32"/>
        </w:rPr>
        <w:t>的工作目标，充分发挥了非税收入票据</w:t>
      </w:r>
      <w:r w:rsidRPr="003C07F9">
        <w:rPr>
          <w:rFonts w:ascii="Times New Roman" w:eastAsia="仿宋_GB2312" w:hAnsi="Times New Roman"/>
          <w:sz w:val="32"/>
          <w:szCs w:val="32"/>
        </w:rPr>
        <w:t>“</w:t>
      </w:r>
      <w:r w:rsidRPr="003C07F9">
        <w:rPr>
          <w:rFonts w:ascii="Times New Roman" w:eastAsia="仿宋_GB2312" w:hAnsi="Times New Roman" w:hint="eastAsia"/>
          <w:sz w:val="32"/>
          <w:szCs w:val="32"/>
        </w:rPr>
        <w:t>以票管收</w:t>
      </w:r>
      <w:r w:rsidRPr="003C07F9">
        <w:rPr>
          <w:rFonts w:ascii="Times New Roman" w:eastAsia="仿宋_GB2312" w:hAnsi="Times New Roman"/>
          <w:sz w:val="32"/>
          <w:szCs w:val="32"/>
        </w:rPr>
        <w:t>”</w:t>
      </w:r>
      <w:r w:rsidRPr="003C07F9">
        <w:rPr>
          <w:rFonts w:ascii="Times New Roman" w:eastAsia="仿宋_GB2312" w:hAnsi="Times New Roman" w:hint="eastAsia"/>
          <w:sz w:val="32"/>
          <w:szCs w:val="32"/>
        </w:rPr>
        <w:t>的作用，为全省财政非税票据电子化改革和非税电子化收缴作出了积极有益的探索。我们的主要经验及做法是：</w:t>
      </w:r>
    </w:p>
    <w:p w:rsidR="00551D2B" w:rsidRPr="003C07F9" w:rsidRDefault="00551D2B" w:rsidP="00A63D47">
      <w:pPr>
        <w:numPr>
          <w:ilvl w:val="0"/>
          <w:numId w:val="1"/>
        </w:numPr>
        <w:spacing w:line="590" w:lineRule="exact"/>
        <w:rPr>
          <w:rFonts w:ascii="Times New Roman" w:eastAsia="黑体" w:hAnsi="Times New Roman"/>
          <w:sz w:val="32"/>
          <w:szCs w:val="32"/>
        </w:rPr>
      </w:pPr>
      <w:r w:rsidRPr="003C07F9">
        <w:rPr>
          <w:rFonts w:ascii="Times New Roman" w:eastAsia="黑体" w:hAnsi="Times New Roman" w:hint="eastAsia"/>
          <w:sz w:val="32"/>
          <w:szCs w:val="32"/>
        </w:rPr>
        <w:t>组织宣传求广，不断营造票据电子化改革氛围</w:t>
      </w:r>
    </w:p>
    <w:p w:rsidR="00551D2B" w:rsidRPr="003C07F9" w:rsidRDefault="00551D2B" w:rsidP="003C07F9">
      <w:pPr>
        <w:ind w:firstLineChars="200" w:firstLine="626"/>
        <w:rPr>
          <w:rFonts w:ascii="Times New Roman" w:eastAsia="仿宋_GB2312" w:hAnsi="Times New Roman"/>
          <w:sz w:val="32"/>
          <w:szCs w:val="32"/>
        </w:rPr>
      </w:pPr>
      <w:r w:rsidRPr="003C07F9">
        <w:rPr>
          <w:rFonts w:ascii="Times New Roman" w:eastAsia="仿宋_GB2312" w:hAnsi="Times New Roman" w:hint="eastAsia"/>
          <w:b/>
          <w:bCs/>
          <w:sz w:val="32"/>
          <w:szCs w:val="32"/>
        </w:rPr>
        <w:t>一是成立组织机构。</w:t>
      </w:r>
      <w:r w:rsidRPr="003C07F9">
        <w:rPr>
          <w:rFonts w:ascii="Times New Roman" w:eastAsia="仿宋_GB2312" w:hAnsi="Times New Roman" w:hint="eastAsia"/>
          <w:sz w:val="32"/>
          <w:szCs w:val="32"/>
        </w:rPr>
        <w:t>为切实抓好财政票据电子化管理改革，县财政局成立以局长为组长，分管副局长、县非税局局长为副组长，其他相关股室负责人为成员的财政票据电子化改革领导小组，全面统筹安排财政票据电子化改革工作。领导小组职责分工明确，责任层层压实，确保了改革有序推进</w:t>
      </w:r>
      <w:r w:rsidRPr="003C07F9">
        <w:rPr>
          <w:rFonts w:ascii="Times New Roman" w:eastAsia="仿宋_GB2312" w:hAnsi="Times New Roman" w:hint="eastAsia"/>
          <w:b/>
          <w:bCs/>
          <w:sz w:val="32"/>
          <w:szCs w:val="32"/>
        </w:rPr>
        <w:t>。二是周密制定方案。</w:t>
      </w:r>
      <w:r w:rsidRPr="003C07F9">
        <w:rPr>
          <w:rFonts w:ascii="Times New Roman" w:eastAsia="仿宋_GB2312" w:hAnsi="Times New Roman"/>
          <w:sz w:val="32"/>
          <w:szCs w:val="32"/>
        </w:rPr>
        <w:t>2015</w:t>
      </w:r>
      <w:r w:rsidRPr="003C07F9">
        <w:rPr>
          <w:rFonts w:ascii="Times New Roman" w:eastAsia="仿宋_GB2312" w:hAnsi="Times New Roman" w:hint="eastAsia"/>
          <w:sz w:val="32"/>
          <w:szCs w:val="32"/>
        </w:rPr>
        <w:t>年</w:t>
      </w:r>
      <w:r w:rsidRPr="003C07F9">
        <w:rPr>
          <w:rFonts w:ascii="Times New Roman" w:eastAsia="仿宋_GB2312" w:hAnsi="Times New Roman"/>
          <w:sz w:val="32"/>
          <w:szCs w:val="32"/>
        </w:rPr>
        <w:t>11</w:t>
      </w:r>
      <w:r w:rsidRPr="003C07F9">
        <w:rPr>
          <w:rFonts w:ascii="Times New Roman" w:eastAsia="仿宋_GB2312" w:hAnsi="Times New Roman" w:hint="eastAsia"/>
          <w:sz w:val="32"/>
          <w:szCs w:val="32"/>
        </w:rPr>
        <w:t>月，以县政府名义下发了《永兴县全面推进财政票据电子化管理工作实施方案》（永政办函〔</w:t>
      </w:r>
      <w:r w:rsidRPr="003C07F9">
        <w:rPr>
          <w:rFonts w:ascii="Times New Roman" w:eastAsia="仿宋_GB2312" w:hAnsi="Times New Roman"/>
          <w:sz w:val="32"/>
          <w:szCs w:val="32"/>
        </w:rPr>
        <w:t>2015</w:t>
      </w:r>
      <w:r w:rsidRPr="003C07F9">
        <w:rPr>
          <w:rFonts w:ascii="Times New Roman" w:eastAsia="仿宋_GB2312" w:hAnsi="Times New Roman" w:hint="eastAsia"/>
          <w:sz w:val="32"/>
          <w:szCs w:val="32"/>
        </w:rPr>
        <w:t>〕</w:t>
      </w:r>
      <w:r w:rsidRPr="003C07F9">
        <w:rPr>
          <w:rFonts w:ascii="Times New Roman" w:eastAsia="仿宋_GB2312" w:hAnsi="Times New Roman"/>
          <w:sz w:val="32"/>
          <w:szCs w:val="32"/>
        </w:rPr>
        <w:t>103</w:t>
      </w:r>
      <w:r w:rsidRPr="003C07F9">
        <w:rPr>
          <w:rFonts w:ascii="Times New Roman" w:eastAsia="仿宋_GB2312" w:hAnsi="Times New Roman" w:hint="eastAsia"/>
          <w:sz w:val="32"/>
          <w:szCs w:val="32"/>
        </w:rPr>
        <w:t>号），具体</w:t>
      </w:r>
      <w:r w:rsidRPr="003C07F9">
        <w:rPr>
          <w:rFonts w:ascii="Times New Roman" w:eastAsia="仿宋_GB2312" w:hAnsi="Times New Roman" w:hint="eastAsia"/>
          <w:sz w:val="32"/>
          <w:szCs w:val="32"/>
        </w:rPr>
        <w:lastRenderedPageBreak/>
        <w:t>明确了改革目标、实施对象、改革时间、步骤和内容。同时，紧紧围绕财政票据</w:t>
      </w:r>
      <w:r w:rsidRPr="003C07F9">
        <w:rPr>
          <w:rFonts w:ascii="Times New Roman" w:eastAsia="仿宋_GB2312" w:hAnsi="Times New Roman"/>
          <w:sz w:val="32"/>
          <w:szCs w:val="32"/>
        </w:rPr>
        <w:t>“</w:t>
      </w:r>
      <w:r w:rsidRPr="003C07F9">
        <w:rPr>
          <w:rFonts w:ascii="Times New Roman" w:eastAsia="仿宋_GB2312" w:hAnsi="Times New Roman" w:hint="eastAsia"/>
          <w:sz w:val="32"/>
          <w:szCs w:val="32"/>
        </w:rPr>
        <w:t>以票治费、以票管收、以票促收</w:t>
      </w:r>
      <w:r w:rsidRPr="003C07F9">
        <w:rPr>
          <w:rFonts w:ascii="Times New Roman" w:eastAsia="仿宋_GB2312" w:hAnsi="Times New Roman"/>
          <w:sz w:val="32"/>
          <w:szCs w:val="32"/>
        </w:rPr>
        <w:t>”</w:t>
      </w:r>
      <w:r w:rsidRPr="003C07F9">
        <w:rPr>
          <w:rFonts w:ascii="Times New Roman" w:eastAsia="仿宋_GB2312" w:hAnsi="Times New Roman" w:hint="eastAsia"/>
          <w:sz w:val="32"/>
          <w:szCs w:val="32"/>
        </w:rPr>
        <w:t>这一中心，进一步制定并完善了财政票据的日常发放、核销、保管、年检流程管理办法。</w:t>
      </w:r>
      <w:r w:rsidRPr="003C07F9">
        <w:rPr>
          <w:rFonts w:ascii="Times New Roman" w:eastAsia="仿宋_GB2312" w:hAnsi="Times New Roman" w:hint="eastAsia"/>
          <w:b/>
          <w:bCs/>
          <w:sz w:val="32"/>
          <w:szCs w:val="32"/>
        </w:rPr>
        <w:t>三是广泛宣传发动。</w:t>
      </w:r>
      <w:r w:rsidRPr="003C07F9">
        <w:rPr>
          <w:rFonts w:ascii="Times New Roman" w:eastAsia="仿宋_GB2312" w:hAnsi="Times New Roman" w:hint="eastAsia"/>
          <w:sz w:val="32"/>
          <w:szCs w:val="32"/>
        </w:rPr>
        <w:t>召集全县非税执收执法单位分管领导及会计人员集中开会，县财政局主要领导参会并在会上作指示，明确具体改革内容、时间、措施和纪律；利用媒体广泛宣传发动和引导，争取社会各界的理解、支持和配合；在全县手机报、电视台等宣传平台发布改革信息，力争做到改革内容深入人心。由于财政票据电子化改革的成功推进，此项改革</w:t>
      </w:r>
      <w:r w:rsidRPr="003C07F9">
        <w:rPr>
          <w:rFonts w:ascii="Times New Roman" w:eastAsia="仿宋_GB2312" w:hAnsi="Times New Roman"/>
          <w:sz w:val="32"/>
          <w:szCs w:val="32"/>
        </w:rPr>
        <w:t>2016-2017</w:t>
      </w:r>
      <w:r w:rsidRPr="003C07F9">
        <w:rPr>
          <w:rFonts w:ascii="Times New Roman" w:eastAsia="仿宋_GB2312" w:hAnsi="Times New Roman" w:hint="eastAsia"/>
          <w:sz w:val="32"/>
          <w:szCs w:val="32"/>
        </w:rPr>
        <w:t>年连续两年被县政府纳入为年度改革创新事项之一。</w:t>
      </w:r>
    </w:p>
    <w:p w:rsidR="00551D2B" w:rsidRPr="003C07F9" w:rsidRDefault="00551D2B" w:rsidP="003C07F9">
      <w:pPr>
        <w:ind w:firstLineChars="200" w:firstLine="626"/>
        <w:rPr>
          <w:rFonts w:ascii="Times New Roman" w:eastAsia="黑体" w:hAnsi="Times New Roman"/>
          <w:b/>
          <w:sz w:val="32"/>
          <w:szCs w:val="32"/>
        </w:rPr>
      </w:pPr>
      <w:r w:rsidRPr="003C07F9">
        <w:rPr>
          <w:rFonts w:ascii="Times New Roman" w:eastAsia="黑体" w:hAnsi="Times New Roman" w:hint="eastAsia"/>
          <w:b/>
          <w:sz w:val="32"/>
          <w:szCs w:val="32"/>
        </w:rPr>
        <w:t>二、工作措施求实，不断</w:t>
      </w:r>
      <w:r w:rsidR="003C07F9" w:rsidRPr="003C07F9">
        <w:rPr>
          <w:rFonts w:ascii="Times New Roman" w:eastAsia="黑体" w:hAnsi="Times New Roman" w:hint="eastAsia"/>
          <w:b/>
          <w:sz w:val="32"/>
          <w:szCs w:val="32"/>
        </w:rPr>
        <w:t>提升</w:t>
      </w:r>
      <w:r w:rsidRPr="003C07F9">
        <w:rPr>
          <w:rFonts w:ascii="Times New Roman" w:eastAsia="黑体" w:hAnsi="Times New Roman" w:hint="eastAsia"/>
          <w:b/>
          <w:sz w:val="32"/>
          <w:szCs w:val="32"/>
        </w:rPr>
        <w:t>票据电子化改革工作水平</w:t>
      </w:r>
    </w:p>
    <w:p w:rsidR="00551D2B" w:rsidRPr="003C07F9" w:rsidRDefault="00551D2B" w:rsidP="003C07F9">
      <w:pPr>
        <w:spacing w:line="600" w:lineRule="exact"/>
        <w:ind w:firstLineChars="200" w:firstLine="626"/>
        <w:rPr>
          <w:rFonts w:ascii="Times New Roman" w:eastAsia="仿宋_GB2312" w:hAnsi="Times New Roman"/>
          <w:sz w:val="32"/>
          <w:szCs w:val="32"/>
        </w:rPr>
      </w:pPr>
      <w:r w:rsidRPr="003C07F9">
        <w:rPr>
          <w:rFonts w:ascii="Times New Roman" w:eastAsia="仿宋_GB2312" w:hAnsi="Times New Roman" w:hint="eastAsia"/>
          <w:b/>
          <w:bCs/>
          <w:sz w:val="32"/>
          <w:szCs w:val="32"/>
        </w:rPr>
        <w:t>一是夯实工作基础。</w:t>
      </w:r>
      <w:r w:rsidRPr="003C07F9">
        <w:rPr>
          <w:rFonts w:ascii="Times New Roman" w:eastAsia="仿宋_GB2312" w:hAnsi="Times New Roman" w:hint="eastAsia"/>
          <w:sz w:val="32"/>
          <w:szCs w:val="32"/>
        </w:rPr>
        <w:t>清理各执收单位手工票据，登记在册，做到全面覆盖，不留死角；根据改革时间安排表限定单位在规定时间节点结清手工票据；摸排执收单位硬件配备、网络通畅情况，适时安排集中采购，保证信息畅通；积极与湘邮公司和局信息中心沟通，建立适合财政票据电子化改革的软硬件环境；调研执收单位财政票据种类和数量、收费项目标准及年度收入等情况，并对财政专线联接以及非税执收系统使用情况进行清理；依托财政部门</w:t>
      </w:r>
      <w:r w:rsidRPr="003C07F9">
        <w:rPr>
          <w:rFonts w:ascii="Times New Roman" w:eastAsia="仿宋_GB2312" w:hAnsi="Times New Roman"/>
          <w:sz w:val="32"/>
          <w:szCs w:val="32"/>
        </w:rPr>
        <w:t>“</w:t>
      </w:r>
      <w:r w:rsidRPr="003C07F9">
        <w:rPr>
          <w:rFonts w:ascii="Times New Roman" w:eastAsia="仿宋_GB2312" w:hAnsi="Times New Roman" w:hint="eastAsia"/>
          <w:sz w:val="32"/>
          <w:szCs w:val="32"/>
        </w:rPr>
        <w:t>金财工程</w:t>
      </w:r>
      <w:r w:rsidRPr="003C07F9">
        <w:rPr>
          <w:rFonts w:ascii="Times New Roman" w:eastAsia="仿宋_GB2312" w:hAnsi="Times New Roman"/>
          <w:sz w:val="32"/>
          <w:szCs w:val="32"/>
        </w:rPr>
        <w:t>”</w:t>
      </w:r>
      <w:r w:rsidRPr="003C07F9">
        <w:rPr>
          <w:rFonts w:ascii="Times New Roman" w:eastAsia="仿宋_GB2312" w:hAnsi="Times New Roman" w:hint="eastAsia"/>
          <w:sz w:val="32"/>
          <w:szCs w:val="32"/>
        </w:rPr>
        <w:t>系统大平台，统一升级安装了网络版非税收入执收单位征收管理系统；根据改革需求，我局采购了高性能服务器与专用防火墙设备，使用服务器虚拟技术合理调配资源，并新增六十路至执收单位财政内网专线，确保系统安全运行，网络通畅；</w:t>
      </w:r>
      <w:r w:rsidRPr="003C07F9">
        <w:rPr>
          <w:rFonts w:ascii="Times New Roman" w:eastAsia="仿宋_GB2312" w:hAnsi="Times New Roman" w:hint="eastAsia"/>
          <w:sz w:val="32"/>
          <w:szCs w:val="32"/>
        </w:rPr>
        <w:lastRenderedPageBreak/>
        <w:t>执收单位按软件设置要求配置了专用电脑及打印机等硬件。通过上述一系列工作，夯实了财政票据改革各项基础工作，为非税票据电子化改革铺平了道路。</w:t>
      </w:r>
    </w:p>
    <w:p w:rsidR="00551D2B" w:rsidRPr="003C07F9" w:rsidRDefault="00551D2B" w:rsidP="003C07F9">
      <w:pPr>
        <w:spacing w:line="600" w:lineRule="exact"/>
        <w:ind w:firstLineChars="200" w:firstLine="626"/>
        <w:rPr>
          <w:rFonts w:ascii="Times New Roman" w:eastAsia="仿宋_GB2312" w:hAnsi="Times New Roman"/>
          <w:sz w:val="32"/>
          <w:szCs w:val="32"/>
        </w:rPr>
      </w:pPr>
      <w:r w:rsidRPr="003C07F9">
        <w:rPr>
          <w:rFonts w:ascii="Times New Roman" w:eastAsia="仿宋_GB2312" w:hAnsi="Times New Roman" w:hint="eastAsia"/>
          <w:b/>
          <w:bCs/>
          <w:sz w:val="32"/>
          <w:szCs w:val="32"/>
        </w:rPr>
        <w:t>二是强化票据管理。</w:t>
      </w:r>
      <w:r w:rsidRPr="003C07F9">
        <w:rPr>
          <w:rFonts w:ascii="Times New Roman" w:eastAsia="仿宋_GB2312" w:hAnsi="Times New Roman" w:hint="eastAsia"/>
          <w:sz w:val="32"/>
          <w:szCs w:val="32"/>
        </w:rPr>
        <w:t>严格执行《财政票据精细化管理办法》，明确坚持</w:t>
      </w:r>
      <w:r w:rsidRPr="003C07F9">
        <w:rPr>
          <w:rFonts w:ascii="Times New Roman" w:eastAsia="仿宋_GB2312" w:hAnsi="Times New Roman"/>
          <w:sz w:val="32"/>
          <w:szCs w:val="32"/>
        </w:rPr>
        <w:t>“</w:t>
      </w:r>
      <w:r w:rsidRPr="003C07F9">
        <w:rPr>
          <w:rFonts w:ascii="Times New Roman" w:eastAsia="仿宋_GB2312" w:hAnsi="Times New Roman" w:hint="eastAsia"/>
          <w:sz w:val="32"/>
          <w:szCs w:val="32"/>
        </w:rPr>
        <w:t>以票管收，票款同行</w:t>
      </w:r>
      <w:r w:rsidRPr="003C07F9">
        <w:rPr>
          <w:rFonts w:ascii="Times New Roman" w:eastAsia="仿宋_GB2312" w:hAnsi="Times New Roman"/>
          <w:sz w:val="32"/>
          <w:szCs w:val="32"/>
        </w:rPr>
        <w:t>”</w:t>
      </w:r>
      <w:r w:rsidRPr="003C07F9">
        <w:rPr>
          <w:rFonts w:ascii="Times New Roman" w:eastAsia="仿宋_GB2312" w:hAnsi="Times New Roman" w:hint="eastAsia"/>
          <w:sz w:val="32"/>
          <w:szCs w:val="32"/>
        </w:rPr>
        <w:t>原则，严把票据发放、核销和年检</w:t>
      </w:r>
      <w:r w:rsidRPr="003C07F9">
        <w:rPr>
          <w:rFonts w:ascii="Times New Roman" w:eastAsia="仿宋_GB2312" w:hAnsi="Times New Roman"/>
          <w:sz w:val="32"/>
          <w:szCs w:val="32"/>
        </w:rPr>
        <w:t>“</w:t>
      </w:r>
      <w:r w:rsidRPr="003C07F9">
        <w:rPr>
          <w:rFonts w:ascii="Times New Roman" w:eastAsia="仿宋_GB2312" w:hAnsi="Times New Roman" w:hint="eastAsia"/>
          <w:sz w:val="32"/>
          <w:szCs w:val="32"/>
        </w:rPr>
        <w:t>三道</w:t>
      </w:r>
      <w:r w:rsidRPr="003C07F9">
        <w:rPr>
          <w:rFonts w:ascii="Times New Roman" w:eastAsia="仿宋_GB2312" w:hAnsi="Times New Roman"/>
          <w:sz w:val="32"/>
          <w:szCs w:val="32"/>
        </w:rPr>
        <w:t>”</w:t>
      </w:r>
      <w:r w:rsidRPr="003C07F9">
        <w:rPr>
          <w:rFonts w:ascii="Times New Roman" w:eastAsia="仿宋_GB2312" w:hAnsi="Times New Roman" w:hint="eastAsia"/>
          <w:sz w:val="32"/>
          <w:szCs w:val="32"/>
        </w:rPr>
        <w:t>关口，一方面严格把握非税票据的发放范围及数量，积极推广使用电脑票据，逐步取消手工票据，扩大通用票据使用范围，重点控制现场执收票据的发放；另一方面严格非税票据的核销稽查和年检年审制度，为电脑票的使用打下坚实基础。</w:t>
      </w:r>
    </w:p>
    <w:p w:rsidR="00551D2B" w:rsidRPr="003C07F9" w:rsidRDefault="00551D2B" w:rsidP="003C07F9">
      <w:pPr>
        <w:spacing w:line="600" w:lineRule="exact"/>
        <w:ind w:firstLineChars="200" w:firstLine="626"/>
        <w:rPr>
          <w:rFonts w:ascii="Times New Roman" w:eastAsia="仿宋_GB2312" w:hAnsi="Times New Roman"/>
          <w:sz w:val="32"/>
          <w:szCs w:val="32"/>
        </w:rPr>
      </w:pPr>
      <w:r w:rsidRPr="003C07F9">
        <w:rPr>
          <w:rFonts w:ascii="Times New Roman" w:eastAsia="仿宋_GB2312" w:hAnsi="Times New Roman" w:hint="eastAsia"/>
          <w:b/>
          <w:bCs/>
          <w:sz w:val="32"/>
          <w:szCs w:val="32"/>
        </w:rPr>
        <w:t>三是开展业务培训。</w:t>
      </w:r>
      <w:r w:rsidRPr="003C07F9">
        <w:rPr>
          <w:rFonts w:ascii="Times New Roman" w:eastAsia="仿宋_GB2312" w:hAnsi="Times New Roman" w:hint="eastAsia"/>
          <w:sz w:val="32"/>
          <w:szCs w:val="32"/>
        </w:rPr>
        <w:t>县非税局分四期对县直单位及乡镇财政所、计生办非税执收单位财务人员进行了专项业务培训，并深入各执收单位现场组织相关人员对财政票据基础业务知识及软件系统基本操作技能进行普及性培训，提高了操作人员业务技能。</w:t>
      </w:r>
    </w:p>
    <w:p w:rsidR="00551D2B" w:rsidRPr="003C07F9" w:rsidRDefault="00551D2B" w:rsidP="003C07F9">
      <w:pPr>
        <w:spacing w:line="600" w:lineRule="exact"/>
        <w:ind w:firstLineChars="200" w:firstLine="626"/>
        <w:rPr>
          <w:rFonts w:ascii="Times New Roman" w:eastAsia="仿宋_GB2312" w:hAnsi="Times New Roman"/>
          <w:sz w:val="32"/>
          <w:szCs w:val="32"/>
        </w:rPr>
      </w:pPr>
      <w:r w:rsidRPr="003C07F9">
        <w:rPr>
          <w:rFonts w:ascii="Times New Roman" w:eastAsia="仿宋_GB2312" w:hAnsi="Times New Roman" w:hint="eastAsia"/>
          <w:b/>
          <w:bCs/>
          <w:sz w:val="32"/>
          <w:szCs w:val="32"/>
        </w:rPr>
        <w:t>四是分类分步推进。</w:t>
      </w:r>
      <w:r w:rsidRPr="003C07F9">
        <w:rPr>
          <w:rFonts w:ascii="Times New Roman" w:eastAsia="仿宋_GB2312" w:hAnsi="Times New Roman"/>
          <w:sz w:val="32"/>
          <w:szCs w:val="32"/>
        </w:rPr>
        <w:t>2015</w:t>
      </w:r>
      <w:r w:rsidRPr="003C07F9">
        <w:rPr>
          <w:rFonts w:ascii="Times New Roman" w:eastAsia="仿宋_GB2312" w:hAnsi="Times New Roman" w:hint="eastAsia"/>
          <w:sz w:val="32"/>
          <w:szCs w:val="32"/>
        </w:rPr>
        <w:t>年</w:t>
      </w:r>
      <w:r w:rsidRPr="003C07F9">
        <w:rPr>
          <w:rFonts w:ascii="Times New Roman" w:eastAsia="仿宋_GB2312" w:hAnsi="Times New Roman"/>
          <w:sz w:val="32"/>
          <w:szCs w:val="32"/>
        </w:rPr>
        <w:t>8</w:t>
      </w:r>
      <w:r w:rsidRPr="003C07F9">
        <w:rPr>
          <w:rFonts w:ascii="Times New Roman" w:eastAsia="仿宋_GB2312" w:hAnsi="Times New Roman" w:hint="eastAsia"/>
          <w:sz w:val="32"/>
          <w:szCs w:val="32"/>
        </w:rPr>
        <w:t>月，对用票量大的单位如县公安局、交警队、房产局等，强制要求开通财政专线，列入首批非税票据电子化改革对象；</w:t>
      </w:r>
      <w:r w:rsidRPr="003C07F9">
        <w:rPr>
          <w:rFonts w:ascii="Times New Roman" w:eastAsia="仿宋_GB2312" w:hAnsi="Times New Roman" w:hint="eastAsia"/>
          <w:bCs/>
          <w:sz w:val="32"/>
          <w:szCs w:val="32"/>
        </w:rPr>
        <w:t>对</w:t>
      </w:r>
      <w:r w:rsidRPr="003C07F9">
        <w:rPr>
          <w:rFonts w:ascii="Times New Roman" w:eastAsia="仿宋_GB2312" w:hAnsi="Times New Roman" w:hint="eastAsia"/>
          <w:sz w:val="32"/>
          <w:szCs w:val="32"/>
        </w:rPr>
        <w:t>已联接和开通财政专线的执收单位，及时升级非税票据管理软件，全部实行电脑开票、电子化管理；对未在规定时间内实施票据电子化改革的单位，原则上停止供票，倒逼各单位主动与财政部门衔接；合作网络公司安排专人上门安装网线、硬件，并负责培训单位操作人员，县非税局不定期检查，发现问题及时整改到位。</w:t>
      </w:r>
      <w:r w:rsidRPr="003C07F9">
        <w:rPr>
          <w:rFonts w:ascii="Times New Roman" w:eastAsia="仿宋_GB2312" w:hAnsi="Times New Roman"/>
          <w:sz w:val="32"/>
          <w:szCs w:val="32"/>
        </w:rPr>
        <w:t>2016</w:t>
      </w:r>
      <w:r w:rsidRPr="003C07F9">
        <w:rPr>
          <w:rFonts w:ascii="Times New Roman" w:eastAsia="仿宋_GB2312" w:hAnsi="Times New Roman" w:hint="eastAsia"/>
          <w:sz w:val="32"/>
          <w:szCs w:val="32"/>
        </w:rPr>
        <w:t>年</w:t>
      </w:r>
      <w:r w:rsidRPr="003C07F9">
        <w:rPr>
          <w:rFonts w:ascii="Times New Roman" w:eastAsia="仿宋_GB2312" w:hAnsi="Times New Roman"/>
          <w:sz w:val="32"/>
          <w:szCs w:val="32"/>
        </w:rPr>
        <w:t>6</w:t>
      </w:r>
      <w:r w:rsidRPr="003C07F9">
        <w:rPr>
          <w:rFonts w:ascii="Times New Roman" w:eastAsia="仿宋_GB2312" w:hAnsi="Times New Roman" w:hint="eastAsia"/>
          <w:sz w:val="32"/>
          <w:szCs w:val="32"/>
        </w:rPr>
        <w:t>月，所有县直单位非税票据电子化改革全面完成。</w:t>
      </w:r>
      <w:r w:rsidRPr="003C07F9">
        <w:rPr>
          <w:rFonts w:ascii="Times New Roman" w:eastAsia="仿宋_GB2312" w:hAnsi="Times New Roman"/>
          <w:sz w:val="32"/>
          <w:szCs w:val="32"/>
        </w:rPr>
        <w:t>2016</w:t>
      </w:r>
      <w:r w:rsidRPr="003C07F9">
        <w:rPr>
          <w:rFonts w:ascii="Times New Roman" w:eastAsia="仿宋_GB2312" w:hAnsi="Times New Roman" w:hint="eastAsia"/>
          <w:sz w:val="32"/>
          <w:szCs w:val="32"/>
        </w:rPr>
        <w:t>年</w:t>
      </w:r>
      <w:r w:rsidRPr="003C07F9">
        <w:rPr>
          <w:rFonts w:ascii="Times New Roman" w:eastAsia="仿宋_GB2312" w:hAnsi="Times New Roman"/>
          <w:sz w:val="32"/>
          <w:szCs w:val="32"/>
        </w:rPr>
        <w:t>12</w:t>
      </w:r>
      <w:r w:rsidRPr="003C07F9">
        <w:rPr>
          <w:rFonts w:ascii="Times New Roman" w:eastAsia="仿宋_GB2312" w:hAnsi="Times New Roman" w:hint="eastAsia"/>
          <w:sz w:val="32"/>
          <w:szCs w:val="32"/>
        </w:rPr>
        <w:t>月底，非税票据电子化改</w:t>
      </w:r>
      <w:r w:rsidRPr="003C07F9">
        <w:rPr>
          <w:rFonts w:ascii="Times New Roman" w:eastAsia="仿宋_GB2312" w:hAnsi="Times New Roman" w:hint="eastAsia"/>
          <w:sz w:val="32"/>
          <w:szCs w:val="32"/>
        </w:rPr>
        <w:lastRenderedPageBreak/>
        <w:t>革覆盖了全县开发区、所有乡镇和学校。</w:t>
      </w:r>
    </w:p>
    <w:p w:rsidR="00551D2B" w:rsidRPr="003C07F9" w:rsidRDefault="00551D2B" w:rsidP="003C07F9">
      <w:pPr>
        <w:spacing w:line="600" w:lineRule="exact"/>
        <w:ind w:firstLineChars="200" w:firstLine="626"/>
        <w:rPr>
          <w:rFonts w:ascii="Times New Roman" w:eastAsia="仿宋_GB2312" w:hAnsi="Times New Roman"/>
          <w:sz w:val="32"/>
          <w:szCs w:val="32"/>
        </w:rPr>
      </w:pPr>
      <w:r w:rsidRPr="003C07F9">
        <w:rPr>
          <w:rFonts w:ascii="Times New Roman" w:eastAsia="仿宋_GB2312" w:hAnsi="Times New Roman" w:hint="eastAsia"/>
          <w:b/>
          <w:bCs/>
          <w:sz w:val="32"/>
          <w:szCs w:val="32"/>
        </w:rPr>
        <w:t>五是集中开票，统一收费。</w:t>
      </w:r>
      <w:r w:rsidRPr="003C07F9">
        <w:rPr>
          <w:rFonts w:ascii="Times New Roman" w:eastAsia="仿宋_GB2312" w:hAnsi="Times New Roman" w:hint="eastAsia"/>
          <w:sz w:val="32"/>
          <w:szCs w:val="32"/>
        </w:rPr>
        <w:t>对进驻政务中心的</w:t>
      </w:r>
      <w:r w:rsidRPr="003C07F9">
        <w:rPr>
          <w:rFonts w:ascii="Times New Roman" w:eastAsia="仿宋_GB2312" w:hAnsi="Times New Roman"/>
          <w:sz w:val="32"/>
          <w:szCs w:val="32"/>
        </w:rPr>
        <w:t>60</w:t>
      </w:r>
      <w:r w:rsidRPr="003C07F9">
        <w:rPr>
          <w:rFonts w:ascii="Times New Roman" w:eastAsia="仿宋_GB2312" w:hAnsi="Times New Roman" w:hint="eastAsia"/>
          <w:sz w:val="32"/>
          <w:szCs w:val="32"/>
        </w:rPr>
        <w:t>多个单位，财政部门在县政务中心设立窗口，架设专用光纤，采取单位开单，财政统一电脑开票，</w:t>
      </w:r>
      <w:r w:rsidRPr="003C07F9">
        <w:rPr>
          <w:rFonts w:ascii="Times New Roman" w:eastAsia="仿宋_GB2312" w:hAnsi="Times New Roman"/>
          <w:sz w:val="32"/>
          <w:szCs w:val="32"/>
        </w:rPr>
        <w:t>POS</w:t>
      </w:r>
      <w:r w:rsidRPr="003C07F9">
        <w:rPr>
          <w:rFonts w:ascii="Times New Roman" w:eastAsia="仿宋_GB2312" w:hAnsi="Times New Roman" w:hint="eastAsia"/>
          <w:sz w:val="32"/>
          <w:szCs w:val="32"/>
        </w:rPr>
        <w:t>刷卡收费的方式，实现了收费项目、标准集中监管，票款同行、自动核销的目标。</w:t>
      </w:r>
    </w:p>
    <w:p w:rsidR="00551D2B" w:rsidRPr="003C07F9" w:rsidRDefault="00551D2B" w:rsidP="003C07F9">
      <w:pPr>
        <w:ind w:firstLineChars="200" w:firstLine="626"/>
        <w:rPr>
          <w:rFonts w:ascii="Times New Roman" w:eastAsia="仿宋_GB2312" w:hAnsi="Times New Roman"/>
          <w:sz w:val="32"/>
          <w:szCs w:val="32"/>
        </w:rPr>
      </w:pPr>
      <w:r w:rsidRPr="003C07F9">
        <w:rPr>
          <w:rFonts w:ascii="Times New Roman" w:eastAsia="黑体" w:hAnsi="Times New Roman" w:hint="eastAsia"/>
          <w:b/>
          <w:sz w:val="32"/>
          <w:szCs w:val="32"/>
        </w:rPr>
        <w:t>三、检查考核求严，不断强化票据电子化改革工作实效</w:t>
      </w:r>
    </w:p>
    <w:p w:rsidR="00551D2B" w:rsidRPr="003C07F9" w:rsidRDefault="00551D2B" w:rsidP="003C07F9">
      <w:pPr>
        <w:spacing w:line="590" w:lineRule="exact"/>
        <w:ind w:firstLineChars="200" w:firstLine="626"/>
        <w:rPr>
          <w:rFonts w:ascii="Times New Roman" w:eastAsia="仿宋_GB2312" w:hAnsi="Times New Roman"/>
          <w:sz w:val="32"/>
          <w:szCs w:val="32"/>
        </w:rPr>
      </w:pPr>
      <w:r w:rsidRPr="003C07F9">
        <w:rPr>
          <w:rFonts w:ascii="Times New Roman" w:eastAsia="仿宋_GB2312" w:hAnsi="Times New Roman" w:hint="eastAsia"/>
          <w:b/>
          <w:bCs/>
          <w:sz w:val="32"/>
          <w:szCs w:val="32"/>
        </w:rPr>
        <w:t>一是注重日常考核。</w:t>
      </w:r>
      <w:r w:rsidRPr="003C07F9">
        <w:rPr>
          <w:rFonts w:ascii="Times New Roman" w:eastAsia="仿宋_GB2312" w:hAnsi="Times New Roman" w:hint="eastAsia"/>
          <w:sz w:val="32"/>
          <w:szCs w:val="32"/>
        </w:rPr>
        <w:t>县非税局建立日常工作台账，将相关文件发放，工作布置落实时间，日常工作检查结果，电话或现场督查事项记录在案，作为年度考核的重要参考依据。</w:t>
      </w:r>
    </w:p>
    <w:p w:rsidR="00551D2B" w:rsidRPr="003C07F9" w:rsidRDefault="00551D2B" w:rsidP="003C07F9">
      <w:pPr>
        <w:spacing w:line="590" w:lineRule="exact"/>
        <w:ind w:firstLineChars="200" w:firstLine="626"/>
        <w:rPr>
          <w:rFonts w:ascii="Times New Roman" w:eastAsia="仿宋_GB2312" w:hAnsi="Times New Roman"/>
          <w:sz w:val="32"/>
          <w:szCs w:val="32"/>
        </w:rPr>
      </w:pPr>
      <w:r w:rsidRPr="003C07F9">
        <w:rPr>
          <w:rFonts w:ascii="Times New Roman" w:eastAsia="仿宋_GB2312" w:hAnsi="Times New Roman" w:hint="eastAsia"/>
          <w:b/>
          <w:bCs/>
          <w:sz w:val="32"/>
          <w:szCs w:val="32"/>
        </w:rPr>
        <w:t>二是抓实年终考核。</w:t>
      </w:r>
      <w:r w:rsidRPr="003C07F9">
        <w:rPr>
          <w:rFonts w:ascii="Times New Roman" w:eastAsia="仿宋_GB2312" w:hAnsi="Times New Roman" w:hint="eastAsia"/>
          <w:sz w:val="32"/>
          <w:szCs w:val="32"/>
        </w:rPr>
        <w:t>依托《湖南省非税收入执收工作责任制规定》，出台了永兴县非税收入考核办法，明确对未按规定时间完成财政票据电子化改革的单位进行扣分，年终在全县范围内通报考核结果。并将财政票据电子化改革工作内容纳入县财政对全县非税收入执收单位年终考核加减分项目，通过传导压力，压实责任，确保票据电子化改革取得成功。</w:t>
      </w:r>
    </w:p>
    <w:p w:rsidR="00551D2B" w:rsidRPr="003C07F9" w:rsidRDefault="00551D2B" w:rsidP="003C07F9">
      <w:pPr>
        <w:ind w:firstLineChars="200" w:firstLine="626"/>
        <w:rPr>
          <w:rFonts w:ascii="Times New Roman" w:eastAsia="黑体" w:hAnsi="Times New Roman"/>
          <w:b/>
          <w:sz w:val="32"/>
          <w:szCs w:val="32"/>
        </w:rPr>
      </w:pPr>
      <w:r w:rsidRPr="003C07F9">
        <w:rPr>
          <w:rFonts w:ascii="Times New Roman" w:eastAsia="黑体" w:hAnsi="Times New Roman" w:hint="eastAsia"/>
          <w:b/>
          <w:sz w:val="32"/>
          <w:szCs w:val="32"/>
        </w:rPr>
        <w:t>四、深化改革求精，不断将票据电子改革推向深入</w:t>
      </w:r>
    </w:p>
    <w:p w:rsidR="00551D2B" w:rsidRPr="003C07F9" w:rsidRDefault="00551D2B" w:rsidP="003C07F9">
      <w:pPr>
        <w:ind w:firstLineChars="200" w:firstLine="624"/>
        <w:rPr>
          <w:rFonts w:ascii="Times New Roman" w:eastAsia="仿宋_GB2312" w:hAnsi="Times New Roman"/>
          <w:sz w:val="32"/>
          <w:szCs w:val="32"/>
        </w:rPr>
      </w:pPr>
      <w:r w:rsidRPr="003C07F9">
        <w:rPr>
          <w:rFonts w:ascii="Times New Roman" w:eastAsia="仿宋_GB2312" w:hAnsi="Times New Roman" w:hint="eastAsia"/>
          <w:sz w:val="32"/>
          <w:szCs w:val="32"/>
        </w:rPr>
        <w:t>为全面深化非税票据电子化改革，做到改革全覆盖不留死角，</w:t>
      </w:r>
      <w:r w:rsidRPr="003C07F9">
        <w:rPr>
          <w:rFonts w:ascii="Times New Roman" w:eastAsia="仿宋_GB2312" w:hAnsi="Times New Roman"/>
          <w:sz w:val="32"/>
          <w:szCs w:val="32"/>
        </w:rPr>
        <w:t>2017</w:t>
      </w:r>
      <w:r w:rsidRPr="003C07F9">
        <w:rPr>
          <w:rFonts w:ascii="Times New Roman" w:eastAsia="仿宋_GB2312" w:hAnsi="Times New Roman" w:hint="eastAsia"/>
          <w:sz w:val="32"/>
          <w:szCs w:val="32"/>
        </w:rPr>
        <w:t>年</w:t>
      </w:r>
      <w:r w:rsidRPr="003C07F9">
        <w:rPr>
          <w:rFonts w:ascii="Times New Roman" w:eastAsia="仿宋_GB2312" w:hAnsi="Times New Roman"/>
          <w:sz w:val="32"/>
          <w:szCs w:val="32"/>
        </w:rPr>
        <w:t>3</w:t>
      </w:r>
      <w:r w:rsidRPr="003C07F9">
        <w:rPr>
          <w:rFonts w:ascii="Times New Roman" w:eastAsia="仿宋_GB2312" w:hAnsi="Times New Roman" w:hint="eastAsia"/>
          <w:sz w:val="32"/>
          <w:szCs w:val="32"/>
        </w:rPr>
        <w:t>月，我县对已实现非税票据电子化改革的高级中学、县办幼儿园、职业中学、电大、进修学校等推行学费网上平台缴费，建立学校学籍管理系统，解决学费收缴票款不同步的问题。</w:t>
      </w:r>
    </w:p>
    <w:p w:rsidR="00551D2B" w:rsidRPr="003C07F9" w:rsidRDefault="00551D2B" w:rsidP="003C07F9">
      <w:pPr>
        <w:ind w:firstLineChars="200" w:firstLine="626"/>
        <w:rPr>
          <w:rFonts w:ascii="Times New Roman" w:eastAsia="仿宋_GB2312" w:hAnsi="Times New Roman"/>
          <w:bCs/>
          <w:sz w:val="32"/>
          <w:szCs w:val="32"/>
        </w:rPr>
      </w:pPr>
      <w:r w:rsidRPr="003C07F9">
        <w:rPr>
          <w:rFonts w:ascii="Times New Roman" w:eastAsia="仿宋_GB2312" w:hAnsi="Times New Roman" w:hint="eastAsia"/>
          <w:b/>
          <w:bCs/>
          <w:sz w:val="32"/>
          <w:szCs w:val="32"/>
        </w:rPr>
        <w:t>一是制定开发方案。</w:t>
      </w:r>
      <w:r w:rsidRPr="003C07F9">
        <w:rPr>
          <w:rFonts w:ascii="Times New Roman" w:eastAsia="仿宋_GB2312" w:hAnsi="Times New Roman" w:hint="eastAsia"/>
          <w:sz w:val="32"/>
          <w:szCs w:val="32"/>
        </w:rPr>
        <w:t>科学完善的开发方案是确保系统成功运行的指南。我局多次组织</w:t>
      </w:r>
      <w:r w:rsidRPr="003C07F9">
        <w:rPr>
          <w:rFonts w:ascii="Times New Roman" w:eastAsia="仿宋_GB2312" w:hAnsi="Times New Roman" w:hint="eastAsia"/>
          <w:bCs/>
          <w:sz w:val="32"/>
          <w:szCs w:val="32"/>
        </w:rPr>
        <w:t>软件公司、代理银行等共同研究</w:t>
      </w:r>
      <w:r w:rsidRPr="003C07F9">
        <w:rPr>
          <w:rFonts w:ascii="Times New Roman" w:eastAsia="仿宋_GB2312" w:hAnsi="Times New Roman" w:hint="eastAsia"/>
          <w:sz w:val="32"/>
          <w:szCs w:val="32"/>
        </w:rPr>
        <w:t>学校学</w:t>
      </w:r>
      <w:r w:rsidRPr="003C07F9">
        <w:rPr>
          <w:rFonts w:ascii="Times New Roman" w:eastAsia="仿宋_GB2312" w:hAnsi="Times New Roman" w:hint="eastAsia"/>
          <w:sz w:val="32"/>
          <w:szCs w:val="32"/>
        </w:rPr>
        <w:lastRenderedPageBreak/>
        <w:t>籍管理系统软件开发</w:t>
      </w:r>
      <w:r w:rsidRPr="003C07F9">
        <w:rPr>
          <w:rFonts w:ascii="Times New Roman" w:eastAsia="仿宋_GB2312" w:hAnsi="Times New Roman" w:hint="eastAsia"/>
          <w:bCs/>
          <w:sz w:val="32"/>
          <w:szCs w:val="32"/>
        </w:rPr>
        <w:t>，充分征求学校的意见，不断完善系统功能；明确研发时间节点，确保按时完成开发任务。</w:t>
      </w:r>
    </w:p>
    <w:p w:rsidR="00551D2B" w:rsidRPr="003C07F9" w:rsidRDefault="00551D2B" w:rsidP="003C07F9">
      <w:pPr>
        <w:ind w:firstLineChars="200" w:firstLine="626"/>
        <w:rPr>
          <w:rFonts w:ascii="Times New Roman" w:eastAsia="仿宋_GB2312" w:hAnsi="Times New Roman"/>
          <w:sz w:val="32"/>
          <w:szCs w:val="32"/>
        </w:rPr>
      </w:pPr>
      <w:r w:rsidRPr="003C07F9">
        <w:rPr>
          <w:rFonts w:ascii="Times New Roman" w:eastAsia="仿宋_GB2312" w:hAnsi="Times New Roman" w:hint="eastAsia"/>
          <w:b/>
          <w:bCs/>
          <w:sz w:val="32"/>
          <w:szCs w:val="32"/>
        </w:rPr>
        <w:t>二是申请省局支持。</w:t>
      </w:r>
      <w:r w:rsidRPr="003C07F9">
        <w:rPr>
          <w:rFonts w:ascii="Times New Roman" w:eastAsia="仿宋_GB2312" w:hAnsi="Times New Roman" w:hint="eastAsia"/>
          <w:bCs/>
          <w:sz w:val="32"/>
          <w:szCs w:val="32"/>
        </w:rPr>
        <w:t>我县学校学籍管理系统软件的开发离不开省局的大力支持。由于网上缴费数据的传输</w:t>
      </w:r>
      <w:r w:rsidRPr="003C07F9">
        <w:rPr>
          <w:rFonts w:ascii="Times New Roman" w:eastAsia="仿宋_GB2312" w:hAnsi="Times New Roman" w:hint="eastAsia"/>
          <w:sz w:val="32"/>
          <w:szCs w:val="32"/>
        </w:rPr>
        <w:t>需经代理银行、银联、省局征管系统、县局票据管理系统等多个环节，我局第一时间向省局汇报，申请省局开放数据交换端口，得到了省局的大力支持，学籍管理系统得以成功应用。</w:t>
      </w:r>
    </w:p>
    <w:p w:rsidR="00551D2B" w:rsidRPr="003C07F9" w:rsidRDefault="00551D2B" w:rsidP="003C07F9">
      <w:pPr>
        <w:ind w:firstLineChars="200" w:firstLine="626"/>
        <w:rPr>
          <w:rFonts w:ascii="Times New Roman" w:eastAsia="仿宋_GB2312" w:hAnsi="Times New Roman"/>
          <w:sz w:val="32"/>
          <w:szCs w:val="32"/>
        </w:rPr>
      </w:pPr>
      <w:r w:rsidRPr="003C07F9">
        <w:rPr>
          <w:rFonts w:ascii="Times New Roman" w:eastAsia="仿宋_GB2312" w:hAnsi="Times New Roman" w:hint="eastAsia"/>
          <w:b/>
          <w:bCs/>
          <w:sz w:val="32"/>
          <w:szCs w:val="32"/>
        </w:rPr>
        <w:t>三是组织数据测试。</w:t>
      </w:r>
      <w:r w:rsidRPr="003C07F9">
        <w:rPr>
          <w:rFonts w:ascii="Times New Roman" w:eastAsia="仿宋_GB2312" w:hAnsi="Times New Roman" w:hint="eastAsia"/>
          <w:bCs/>
          <w:sz w:val="32"/>
          <w:szCs w:val="32"/>
        </w:rPr>
        <w:t>安全是学籍管理系统的必要条件，也是最高要求。为</w:t>
      </w:r>
      <w:r w:rsidRPr="003C07F9">
        <w:rPr>
          <w:rFonts w:ascii="Times New Roman" w:eastAsia="仿宋_GB2312" w:hAnsi="Times New Roman" w:hint="eastAsia"/>
          <w:sz w:val="32"/>
          <w:szCs w:val="32"/>
        </w:rPr>
        <w:t>确保数据和资金安全，我局组织软件公司技术人员从中银在线网上缴费平台及微信缴费平台进行缴费测试，银行、银联、湘邮公司、省市县非税局技术人员跟踪数据走向，遇到问题逐个破解，直至实现数据精准、票款同行、自动核销目标，</w:t>
      </w:r>
      <w:r w:rsidRPr="003C07F9">
        <w:rPr>
          <w:rFonts w:ascii="Times New Roman" w:eastAsia="仿宋_GB2312" w:hAnsi="Times New Roman"/>
          <w:bCs/>
          <w:sz w:val="32"/>
          <w:szCs w:val="32"/>
        </w:rPr>
        <w:t xml:space="preserve"> 2017</w:t>
      </w:r>
      <w:r w:rsidRPr="003C07F9">
        <w:rPr>
          <w:rFonts w:ascii="Times New Roman" w:eastAsia="仿宋_GB2312" w:hAnsi="Times New Roman" w:hint="eastAsia"/>
          <w:bCs/>
          <w:sz w:val="32"/>
          <w:szCs w:val="32"/>
        </w:rPr>
        <w:t>年春季开学前成功完成了系统的测试和上线工作。</w:t>
      </w:r>
      <w:r w:rsidRPr="003C07F9">
        <w:rPr>
          <w:rFonts w:ascii="Times New Roman" w:eastAsia="仿宋_GB2312" w:hAnsi="Times New Roman"/>
          <w:sz w:val="32"/>
          <w:szCs w:val="32"/>
        </w:rPr>
        <w:t xml:space="preserve"> </w:t>
      </w:r>
    </w:p>
    <w:p w:rsidR="00551D2B" w:rsidRPr="003C07F9" w:rsidRDefault="00551D2B" w:rsidP="003C07F9">
      <w:pPr>
        <w:ind w:firstLineChars="200" w:firstLine="626"/>
        <w:rPr>
          <w:rFonts w:ascii="Times New Roman" w:eastAsia="黑体" w:hAnsi="Times New Roman"/>
          <w:b/>
          <w:sz w:val="32"/>
          <w:szCs w:val="32"/>
        </w:rPr>
      </w:pPr>
      <w:r w:rsidRPr="003C07F9">
        <w:rPr>
          <w:rFonts w:ascii="Times New Roman" w:eastAsia="仿宋_GB2312" w:hAnsi="Times New Roman" w:hint="eastAsia"/>
          <w:b/>
          <w:bCs/>
          <w:sz w:val="32"/>
          <w:szCs w:val="32"/>
        </w:rPr>
        <w:t>四是抓好培训宣传。</w:t>
      </w:r>
      <w:r w:rsidRPr="003C07F9">
        <w:rPr>
          <w:rFonts w:ascii="Times New Roman" w:eastAsia="仿宋_GB2312" w:hAnsi="Times New Roman" w:hint="eastAsia"/>
          <w:sz w:val="32"/>
          <w:szCs w:val="32"/>
        </w:rPr>
        <w:t>组织各校分管校领导、财务人员及班主任进行培训，再由其在班上进行讲解；同时，印发操作手册发放至每个学生，在缴费时，安排软件公司技术人员现场指导，最大限度发挥系统收费功能。</w:t>
      </w:r>
      <w:r w:rsidRPr="003C07F9">
        <w:rPr>
          <w:rFonts w:ascii="Times New Roman" w:eastAsia="仿宋_GB2312" w:hAnsi="Times New Roman"/>
          <w:sz w:val="32"/>
          <w:szCs w:val="32"/>
        </w:rPr>
        <w:t>2017</w:t>
      </w:r>
      <w:r w:rsidRPr="003C07F9">
        <w:rPr>
          <w:rFonts w:ascii="Times New Roman" w:eastAsia="仿宋_GB2312" w:hAnsi="Times New Roman" w:hint="eastAsia"/>
          <w:sz w:val="32"/>
          <w:szCs w:val="32"/>
        </w:rPr>
        <w:t>年上学期，采用网上及微信缴费平台缴费达</w:t>
      </w:r>
      <w:r w:rsidRPr="003C07F9">
        <w:rPr>
          <w:rFonts w:ascii="Times New Roman" w:eastAsia="仿宋_GB2312" w:hAnsi="Times New Roman"/>
          <w:sz w:val="32"/>
          <w:szCs w:val="32"/>
        </w:rPr>
        <w:t>6000</w:t>
      </w:r>
      <w:r w:rsidRPr="003C07F9">
        <w:rPr>
          <w:rFonts w:ascii="Times New Roman" w:eastAsia="仿宋_GB2312" w:hAnsi="Times New Roman" w:hint="eastAsia"/>
          <w:sz w:val="32"/>
          <w:szCs w:val="32"/>
        </w:rPr>
        <w:t>余笔，占学生总人数的</w:t>
      </w:r>
      <w:r w:rsidRPr="003C07F9">
        <w:rPr>
          <w:rFonts w:ascii="Times New Roman" w:eastAsia="仿宋_GB2312" w:hAnsi="Times New Roman"/>
          <w:sz w:val="32"/>
          <w:szCs w:val="32"/>
        </w:rPr>
        <w:t>70%</w:t>
      </w:r>
      <w:r w:rsidRPr="003C07F9">
        <w:rPr>
          <w:rFonts w:ascii="Times New Roman" w:eastAsia="仿宋_GB2312" w:hAnsi="Times New Roman" w:hint="eastAsia"/>
          <w:sz w:val="32"/>
          <w:szCs w:val="32"/>
        </w:rPr>
        <w:t>。</w:t>
      </w:r>
    </w:p>
    <w:p w:rsidR="00551D2B" w:rsidRPr="003C07F9" w:rsidRDefault="00551D2B" w:rsidP="00D95C06">
      <w:pPr>
        <w:ind w:firstLine="624"/>
        <w:rPr>
          <w:rFonts w:ascii="Times New Roman" w:eastAsia="仿宋_GB2312" w:hAnsi="Times New Roman"/>
          <w:sz w:val="32"/>
          <w:szCs w:val="32"/>
        </w:rPr>
      </w:pPr>
      <w:r w:rsidRPr="003C07F9">
        <w:rPr>
          <w:rFonts w:ascii="Times New Roman" w:eastAsia="仿宋_GB2312" w:hAnsi="Times New Roman" w:hint="eastAsia"/>
          <w:sz w:val="32"/>
          <w:szCs w:val="32"/>
        </w:rPr>
        <w:t>各位领导、非税系统的同仁，永兴县票据电子化改革的成功实施，离不开你们的大力支持和悉心指导，在此对你们致以衷心的感谢！我们深知，改革创新永远在路上，路漫漫其修远兮，吾将上下而求索，我局将以此次全省非税征管工作会议为起点，紧</w:t>
      </w:r>
      <w:r w:rsidRPr="003C07F9">
        <w:rPr>
          <w:rFonts w:ascii="Times New Roman" w:eastAsia="仿宋_GB2312" w:hAnsi="Times New Roman" w:hint="eastAsia"/>
          <w:sz w:val="32"/>
          <w:szCs w:val="32"/>
        </w:rPr>
        <w:lastRenderedPageBreak/>
        <w:t>跟省局票据电子化改革“三步走”的步伐，继续推进全县财政票据电子化改革，不断探索非税收入收缴电子化改革，为全省非税征管工作增砖添瓦。</w:t>
      </w:r>
    </w:p>
    <w:p w:rsidR="00551D2B" w:rsidRPr="003C07F9" w:rsidRDefault="00551D2B" w:rsidP="00D95C06">
      <w:pPr>
        <w:ind w:firstLine="624"/>
        <w:rPr>
          <w:rFonts w:ascii="Times New Roman" w:eastAsia="仿宋_GB2312" w:hAnsi="Times New Roman"/>
          <w:sz w:val="32"/>
          <w:szCs w:val="32"/>
        </w:rPr>
      </w:pPr>
      <w:r w:rsidRPr="003C07F9">
        <w:rPr>
          <w:rFonts w:ascii="Times New Roman" w:eastAsia="仿宋_GB2312" w:hAnsi="Times New Roman" w:hint="eastAsia"/>
          <w:sz w:val="32"/>
          <w:szCs w:val="32"/>
        </w:rPr>
        <w:t>我的汇报完毕，谢谢！</w:t>
      </w:r>
    </w:p>
    <w:p w:rsidR="00551D2B" w:rsidRPr="003C07F9" w:rsidRDefault="00551D2B" w:rsidP="00D95C06">
      <w:pPr>
        <w:ind w:firstLine="624"/>
        <w:rPr>
          <w:rFonts w:ascii="Times New Roman" w:eastAsia="仿宋_GB2312" w:hAnsi="Times New Roman"/>
          <w:sz w:val="32"/>
          <w:szCs w:val="32"/>
        </w:rPr>
      </w:pPr>
    </w:p>
    <w:sectPr w:rsidR="00551D2B" w:rsidRPr="003C07F9" w:rsidSect="00C17474">
      <w:headerReference w:type="default" r:id="rId7"/>
      <w:footerReference w:type="even" r:id="rId8"/>
      <w:footerReference w:type="default" r:id="rId9"/>
      <w:pgSz w:w="11906" w:h="16838"/>
      <w:pgMar w:top="1588" w:right="1588" w:bottom="1588" w:left="1588" w:header="851" w:footer="1304" w:gutter="0"/>
      <w:cols w:space="720"/>
      <w:docGrid w:type="linesAndChars" w:linePitch="608" w:charSpace="-168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0B88" w:rsidRDefault="00680B88">
      <w:r>
        <w:separator/>
      </w:r>
    </w:p>
  </w:endnote>
  <w:endnote w:type="continuationSeparator" w:id="1">
    <w:p w:rsidR="00680B88" w:rsidRDefault="00680B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D2B" w:rsidRDefault="00C7085E">
    <w:pPr>
      <w:pStyle w:val="a5"/>
      <w:framePr w:wrap="around" w:vAnchor="text" w:hAnchor="margin" w:xAlign="center" w:y="1"/>
      <w:rPr>
        <w:rStyle w:val="a3"/>
      </w:rPr>
    </w:pPr>
    <w:r>
      <w:rPr>
        <w:rStyle w:val="a3"/>
      </w:rPr>
      <w:fldChar w:fldCharType="begin"/>
    </w:r>
    <w:r w:rsidR="00551D2B">
      <w:rPr>
        <w:rStyle w:val="a3"/>
      </w:rPr>
      <w:instrText xml:space="preserve">PAGE  </w:instrText>
    </w:r>
    <w:r>
      <w:rPr>
        <w:rStyle w:val="a3"/>
      </w:rPr>
      <w:fldChar w:fldCharType="end"/>
    </w:r>
  </w:p>
  <w:p w:rsidR="00551D2B" w:rsidRDefault="00551D2B">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D2B" w:rsidRDefault="00C7085E">
    <w:pPr>
      <w:pStyle w:val="a5"/>
      <w:framePr w:wrap="around" w:vAnchor="text" w:hAnchor="margin" w:xAlign="center" w:y="1"/>
      <w:rPr>
        <w:rStyle w:val="a3"/>
      </w:rPr>
    </w:pPr>
    <w:r>
      <w:rPr>
        <w:rStyle w:val="a3"/>
      </w:rPr>
      <w:fldChar w:fldCharType="begin"/>
    </w:r>
    <w:r w:rsidR="00551D2B">
      <w:rPr>
        <w:rStyle w:val="a3"/>
      </w:rPr>
      <w:instrText xml:space="preserve">PAGE  </w:instrText>
    </w:r>
    <w:r>
      <w:rPr>
        <w:rStyle w:val="a3"/>
      </w:rPr>
      <w:fldChar w:fldCharType="separate"/>
    </w:r>
    <w:r w:rsidR="00501F9C">
      <w:rPr>
        <w:rStyle w:val="a3"/>
        <w:noProof/>
      </w:rPr>
      <w:t>1</w:t>
    </w:r>
    <w:r>
      <w:rPr>
        <w:rStyle w:val="a3"/>
      </w:rPr>
      <w:fldChar w:fldCharType="end"/>
    </w:r>
  </w:p>
  <w:p w:rsidR="00551D2B" w:rsidRDefault="00551D2B">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0B88" w:rsidRDefault="00680B88">
      <w:r>
        <w:separator/>
      </w:r>
    </w:p>
  </w:footnote>
  <w:footnote w:type="continuationSeparator" w:id="1">
    <w:p w:rsidR="00680B88" w:rsidRDefault="00680B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D2B" w:rsidRDefault="00551D2B">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071449"/>
    <w:multiLevelType w:val="multilevel"/>
    <w:tmpl w:val="35071449"/>
    <w:lvl w:ilvl="0">
      <w:start w:val="1"/>
      <w:numFmt w:val="japaneseCounting"/>
      <w:lvlText w:val="%1、"/>
      <w:lvlJc w:val="left"/>
      <w:pPr>
        <w:tabs>
          <w:tab w:val="num" w:pos="1304"/>
        </w:tabs>
        <w:ind w:left="1304" w:hanging="720"/>
      </w:pPr>
      <w:rPr>
        <w:rFonts w:cs="Times New Roman" w:hint="default"/>
      </w:rPr>
    </w:lvl>
    <w:lvl w:ilvl="1">
      <w:start w:val="1"/>
      <w:numFmt w:val="lowerLetter"/>
      <w:lvlText w:val="%2)"/>
      <w:lvlJc w:val="left"/>
      <w:pPr>
        <w:tabs>
          <w:tab w:val="num" w:pos="1424"/>
        </w:tabs>
        <w:ind w:left="1424" w:hanging="420"/>
      </w:pPr>
      <w:rPr>
        <w:rFonts w:cs="Times New Roman"/>
      </w:rPr>
    </w:lvl>
    <w:lvl w:ilvl="2">
      <w:start w:val="1"/>
      <w:numFmt w:val="lowerRoman"/>
      <w:lvlText w:val="%3."/>
      <w:lvlJc w:val="right"/>
      <w:pPr>
        <w:tabs>
          <w:tab w:val="num" w:pos="1844"/>
        </w:tabs>
        <w:ind w:left="1844" w:hanging="420"/>
      </w:pPr>
      <w:rPr>
        <w:rFonts w:cs="Times New Roman"/>
      </w:rPr>
    </w:lvl>
    <w:lvl w:ilvl="3">
      <w:start w:val="1"/>
      <w:numFmt w:val="decimal"/>
      <w:lvlText w:val="%4."/>
      <w:lvlJc w:val="left"/>
      <w:pPr>
        <w:tabs>
          <w:tab w:val="num" w:pos="2264"/>
        </w:tabs>
        <w:ind w:left="2264" w:hanging="420"/>
      </w:pPr>
      <w:rPr>
        <w:rFonts w:cs="Times New Roman"/>
      </w:rPr>
    </w:lvl>
    <w:lvl w:ilvl="4">
      <w:start w:val="1"/>
      <w:numFmt w:val="lowerLetter"/>
      <w:lvlText w:val="%5)"/>
      <w:lvlJc w:val="left"/>
      <w:pPr>
        <w:tabs>
          <w:tab w:val="num" w:pos="2684"/>
        </w:tabs>
        <w:ind w:left="2684" w:hanging="420"/>
      </w:pPr>
      <w:rPr>
        <w:rFonts w:cs="Times New Roman"/>
      </w:rPr>
    </w:lvl>
    <w:lvl w:ilvl="5">
      <w:start w:val="1"/>
      <w:numFmt w:val="lowerRoman"/>
      <w:lvlText w:val="%6."/>
      <w:lvlJc w:val="right"/>
      <w:pPr>
        <w:tabs>
          <w:tab w:val="num" w:pos="3104"/>
        </w:tabs>
        <w:ind w:left="3104" w:hanging="420"/>
      </w:pPr>
      <w:rPr>
        <w:rFonts w:cs="Times New Roman"/>
      </w:rPr>
    </w:lvl>
    <w:lvl w:ilvl="6">
      <w:start w:val="1"/>
      <w:numFmt w:val="decimal"/>
      <w:lvlText w:val="%7."/>
      <w:lvlJc w:val="left"/>
      <w:pPr>
        <w:tabs>
          <w:tab w:val="num" w:pos="3524"/>
        </w:tabs>
        <w:ind w:left="3524" w:hanging="420"/>
      </w:pPr>
      <w:rPr>
        <w:rFonts w:cs="Times New Roman"/>
      </w:rPr>
    </w:lvl>
    <w:lvl w:ilvl="7">
      <w:start w:val="1"/>
      <w:numFmt w:val="lowerLetter"/>
      <w:lvlText w:val="%8)"/>
      <w:lvlJc w:val="left"/>
      <w:pPr>
        <w:tabs>
          <w:tab w:val="num" w:pos="3944"/>
        </w:tabs>
        <w:ind w:left="3944" w:hanging="420"/>
      </w:pPr>
      <w:rPr>
        <w:rFonts w:cs="Times New Roman"/>
      </w:rPr>
    </w:lvl>
    <w:lvl w:ilvl="8">
      <w:start w:val="1"/>
      <w:numFmt w:val="lowerRoman"/>
      <w:lvlText w:val="%9."/>
      <w:lvlJc w:val="right"/>
      <w:pPr>
        <w:tabs>
          <w:tab w:val="num" w:pos="4364"/>
        </w:tabs>
        <w:ind w:left="4364"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oNotTrackMoves/>
  <w:defaultTabStop w:val="420"/>
  <w:drawingGridVerticalSpacing w:val="156"/>
  <w:noPunctuationKerning/>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47D5"/>
    <w:rsid w:val="00005630"/>
    <w:rsid w:val="00005A19"/>
    <w:rsid w:val="00007669"/>
    <w:rsid w:val="0001784B"/>
    <w:rsid w:val="000308F5"/>
    <w:rsid w:val="0005373C"/>
    <w:rsid w:val="00072252"/>
    <w:rsid w:val="000733BB"/>
    <w:rsid w:val="00090466"/>
    <w:rsid w:val="000A7BB1"/>
    <w:rsid w:val="000D0370"/>
    <w:rsid w:val="000D40C8"/>
    <w:rsid w:val="000E0D10"/>
    <w:rsid w:val="000F76C0"/>
    <w:rsid w:val="00101CFD"/>
    <w:rsid w:val="0010631E"/>
    <w:rsid w:val="00120B9E"/>
    <w:rsid w:val="001367D1"/>
    <w:rsid w:val="00154BF4"/>
    <w:rsid w:val="00164364"/>
    <w:rsid w:val="0016706B"/>
    <w:rsid w:val="001A3501"/>
    <w:rsid w:val="001B4AE9"/>
    <w:rsid w:val="001B742B"/>
    <w:rsid w:val="001C6E10"/>
    <w:rsid w:val="001C6EDC"/>
    <w:rsid w:val="001D6E99"/>
    <w:rsid w:val="001E0537"/>
    <w:rsid w:val="001F7268"/>
    <w:rsid w:val="00206BF0"/>
    <w:rsid w:val="002106D8"/>
    <w:rsid w:val="0021552D"/>
    <w:rsid w:val="00246F02"/>
    <w:rsid w:val="00257043"/>
    <w:rsid w:val="00262DC9"/>
    <w:rsid w:val="00287FE4"/>
    <w:rsid w:val="002B3BBC"/>
    <w:rsid w:val="002D3821"/>
    <w:rsid w:val="002E30E2"/>
    <w:rsid w:val="002E6490"/>
    <w:rsid w:val="00300DFD"/>
    <w:rsid w:val="003115B2"/>
    <w:rsid w:val="0031328F"/>
    <w:rsid w:val="00324F62"/>
    <w:rsid w:val="0034362E"/>
    <w:rsid w:val="003522C9"/>
    <w:rsid w:val="003666E3"/>
    <w:rsid w:val="003A006B"/>
    <w:rsid w:val="003C07F9"/>
    <w:rsid w:val="003E1503"/>
    <w:rsid w:val="003E2808"/>
    <w:rsid w:val="003E2A80"/>
    <w:rsid w:val="003E5FCC"/>
    <w:rsid w:val="004038A6"/>
    <w:rsid w:val="00404EE8"/>
    <w:rsid w:val="004207A6"/>
    <w:rsid w:val="0045559B"/>
    <w:rsid w:val="00477158"/>
    <w:rsid w:val="0048097E"/>
    <w:rsid w:val="004910A5"/>
    <w:rsid w:val="00491EA2"/>
    <w:rsid w:val="0049718D"/>
    <w:rsid w:val="004A2462"/>
    <w:rsid w:val="004A7C29"/>
    <w:rsid w:val="004C5545"/>
    <w:rsid w:val="004D3916"/>
    <w:rsid w:val="004D4C82"/>
    <w:rsid w:val="004E2FC4"/>
    <w:rsid w:val="004E7297"/>
    <w:rsid w:val="004F0FD0"/>
    <w:rsid w:val="004F210E"/>
    <w:rsid w:val="004F7FED"/>
    <w:rsid w:val="00501F9C"/>
    <w:rsid w:val="00530312"/>
    <w:rsid w:val="005317E4"/>
    <w:rsid w:val="0053624F"/>
    <w:rsid w:val="0054058B"/>
    <w:rsid w:val="00540C1C"/>
    <w:rsid w:val="00551D2B"/>
    <w:rsid w:val="00560401"/>
    <w:rsid w:val="00570686"/>
    <w:rsid w:val="005C489C"/>
    <w:rsid w:val="005C5C30"/>
    <w:rsid w:val="005E6F14"/>
    <w:rsid w:val="005E7ED0"/>
    <w:rsid w:val="005F4FA1"/>
    <w:rsid w:val="00603986"/>
    <w:rsid w:val="00605504"/>
    <w:rsid w:val="006106A8"/>
    <w:rsid w:val="00610BF8"/>
    <w:rsid w:val="006124E5"/>
    <w:rsid w:val="00622FDD"/>
    <w:rsid w:val="006262D4"/>
    <w:rsid w:val="0062719D"/>
    <w:rsid w:val="0063290F"/>
    <w:rsid w:val="00663270"/>
    <w:rsid w:val="00680B88"/>
    <w:rsid w:val="00682050"/>
    <w:rsid w:val="006A1DEC"/>
    <w:rsid w:val="006A3758"/>
    <w:rsid w:val="006B373C"/>
    <w:rsid w:val="006B5494"/>
    <w:rsid w:val="006D6AFA"/>
    <w:rsid w:val="006D7D8F"/>
    <w:rsid w:val="006F00CB"/>
    <w:rsid w:val="007054C6"/>
    <w:rsid w:val="00705640"/>
    <w:rsid w:val="00710262"/>
    <w:rsid w:val="0071081C"/>
    <w:rsid w:val="00726E8C"/>
    <w:rsid w:val="007375E5"/>
    <w:rsid w:val="00746B5F"/>
    <w:rsid w:val="007519C5"/>
    <w:rsid w:val="007C3972"/>
    <w:rsid w:val="007D584E"/>
    <w:rsid w:val="007F715C"/>
    <w:rsid w:val="0081121E"/>
    <w:rsid w:val="0081598C"/>
    <w:rsid w:val="00825959"/>
    <w:rsid w:val="00847EDA"/>
    <w:rsid w:val="00855FDC"/>
    <w:rsid w:val="00882260"/>
    <w:rsid w:val="00884A09"/>
    <w:rsid w:val="008A55FB"/>
    <w:rsid w:val="008D0361"/>
    <w:rsid w:val="008E1682"/>
    <w:rsid w:val="008F0E22"/>
    <w:rsid w:val="00907A75"/>
    <w:rsid w:val="009256B8"/>
    <w:rsid w:val="00925B57"/>
    <w:rsid w:val="00927548"/>
    <w:rsid w:val="009647B5"/>
    <w:rsid w:val="00981E5E"/>
    <w:rsid w:val="009B3D5E"/>
    <w:rsid w:val="009B4A6E"/>
    <w:rsid w:val="009B5588"/>
    <w:rsid w:val="009D001A"/>
    <w:rsid w:val="009F5476"/>
    <w:rsid w:val="00A07789"/>
    <w:rsid w:val="00A117CA"/>
    <w:rsid w:val="00A357C6"/>
    <w:rsid w:val="00A429DA"/>
    <w:rsid w:val="00A45F38"/>
    <w:rsid w:val="00A5025D"/>
    <w:rsid w:val="00A63D47"/>
    <w:rsid w:val="00A76089"/>
    <w:rsid w:val="00A76F1F"/>
    <w:rsid w:val="00AA1DE0"/>
    <w:rsid w:val="00AB1D31"/>
    <w:rsid w:val="00AE45EE"/>
    <w:rsid w:val="00AF1A15"/>
    <w:rsid w:val="00AF3F77"/>
    <w:rsid w:val="00AF6289"/>
    <w:rsid w:val="00B247D5"/>
    <w:rsid w:val="00B37D3D"/>
    <w:rsid w:val="00B418B6"/>
    <w:rsid w:val="00B5332B"/>
    <w:rsid w:val="00B56009"/>
    <w:rsid w:val="00B56421"/>
    <w:rsid w:val="00B57B6D"/>
    <w:rsid w:val="00B60DDA"/>
    <w:rsid w:val="00B74EA8"/>
    <w:rsid w:val="00B75F7E"/>
    <w:rsid w:val="00BA6665"/>
    <w:rsid w:val="00BA7E0D"/>
    <w:rsid w:val="00BB6775"/>
    <w:rsid w:val="00BD4BAE"/>
    <w:rsid w:val="00C01D6D"/>
    <w:rsid w:val="00C1484E"/>
    <w:rsid w:val="00C16244"/>
    <w:rsid w:val="00C17474"/>
    <w:rsid w:val="00C40148"/>
    <w:rsid w:val="00C415B0"/>
    <w:rsid w:val="00C46C06"/>
    <w:rsid w:val="00C5359B"/>
    <w:rsid w:val="00C5479D"/>
    <w:rsid w:val="00C7085E"/>
    <w:rsid w:val="00C82157"/>
    <w:rsid w:val="00C87B05"/>
    <w:rsid w:val="00CC6D4E"/>
    <w:rsid w:val="00CE509C"/>
    <w:rsid w:val="00CF0693"/>
    <w:rsid w:val="00CF0EC9"/>
    <w:rsid w:val="00CF7523"/>
    <w:rsid w:val="00D039DB"/>
    <w:rsid w:val="00D12815"/>
    <w:rsid w:val="00D3354B"/>
    <w:rsid w:val="00D6013E"/>
    <w:rsid w:val="00D806D6"/>
    <w:rsid w:val="00D95C06"/>
    <w:rsid w:val="00DA0375"/>
    <w:rsid w:val="00DB0E40"/>
    <w:rsid w:val="00E366D2"/>
    <w:rsid w:val="00E37C7A"/>
    <w:rsid w:val="00E55AD5"/>
    <w:rsid w:val="00E56CAD"/>
    <w:rsid w:val="00E62815"/>
    <w:rsid w:val="00E773C7"/>
    <w:rsid w:val="00E8351D"/>
    <w:rsid w:val="00E92E10"/>
    <w:rsid w:val="00F11238"/>
    <w:rsid w:val="00F512A2"/>
    <w:rsid w:val="00F638C5"/>
    <w:rsid w:val="00F6475E"/>
    <w:rsid w:val="00F74EB5"/>
    <w:rsid w:val="00F875B6"/>
    <w:rsid w:val="00F87713"/>
    <w:rsid w:val="00FB003B"/>
    <w:rsid w:val="00FD4FCD"/>
    <w:rsid w:val="0196556C"/>
    <w:rsid w:val="14D05300"/>
    <w:rsid w:val="2D36353D"/>
    <w:rsid w:val="3388154D"/>
    <w:rsid w:val="34FA07BA"/>
    <w:rsid w:val="3C3C2D26"/>
    <w:rsid w:val="3ED23918"/>
    <w:rsid w:val="50F84B6A"/>
    <w:rsid w:val="69DB6DE9"/>
    <w:rsid w:val="762B5DE4"/>
    <w:rsid w:val="796745C8"/>
    <w:rsid w:val="7FBF138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474"/>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rsid w:val="00C17474"/>
    <w:rPr>
      <w:rFonts w:cs="Times New Roman"/>
    </w:rPr>
  </w:style>
  <w:style w:type="paragraph" w:styleId="a4">
    <w:name w:val="header"/>
    <w:basedOn w:val="a"/>
    <w:link w:val="Char"/>
    <w:uiPriority w:val="99"/>
    <w:rsid w:val="00C174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121815"/>
    <w:rPr>
      <w:rFonts w:ascii="Calibri" w:hAnsi="Calibri"/>
      <w:sz w:val="18"/>
      <w:szCs w:val="18"/>
    </w:rPr>
  </w:style>
  <w:style w:type="paragraph" w:styleId="a5">
    <w:name w:val="footer"/>
    <w:basedOn w:val="a"/>
    <w:link w:val="Char0"/>
    <w:uiPriority w:val="99"/>
    <w:rsid w:val="00C17474"/>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121815"/>
    <w:rPr>
      <w:rFonts w:ascii="Calibri" w:hAnsi="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6</Pages>
  <Words>440</Words>
  <Characters>2512</Characters>
  <Application>Microsoft Office Word</Application>
  <DocSecurity>0</DocSecurity>
  <Lines>20</Lines>
  <Paragraphs>5</Paragraphs>
  <ScaleCrop>false</ScaleCrop>
  <Company>微软中国</Company>
  <LinksUpToDate>false</LinksUpToDate>
  <CharactersWithSpaces>2947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李萍凤</dc:creator>
  <cp:keywords/>
  <dc:description/>
  <cp:lastModifiedBy>a</cp:lastModifiedBy>
  <cp:revision>12</cp:revision>
  <cp:lastPrinted>2017-05-09T09:32:00Z</cp:lastPrinted>
  <dcterms:created xsi:type="dcterms:W3CDTF">2017-06-12T00:46:00Z</dcterms:created>
  <dcterms:modified xsi:type="dcterms:W3CDTF">2017-07-25T08:52:00Z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